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ediumShading1-Accent3"/>
        <w:tblpPr w:leftFromText="180" w:rightFromText="180" w:vertAnchor="page" w:horzAnchor="margin" w:tblpXSpec="center" w:tblpY="1027"/>
        <w:tblW w:w="21229" w:type="dxa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6" w:space="0" w:color="4F6228" w:themeColor="accent3" w:themeShade="80"/>
          <w:insideV w:val="single" w:sz="6" w:space="0" w:color="4F6228" w:themeColor="accent3" w:themeShade="80"/>
        </w:tblBorders>
        <w:tblCellMar>
          <w:top w:w="57" w:type="dxa"/>
          <w:bottom w:w="28" w:type="dxa"/>
        </w:tblCellMar>
        <w:tblLook w:val="0600" w:firstRow="0" w:lastRow="0" w:firstColumn="0" w:lastColumn="0" w:noHBand="1" w:noVBand="1"/>
      </w:tblPr>
      <w:tblGrid>
        <w:gridCol w:w="2688"/>
        <w:gridCol w:w="2145"/>
        <w:gridCol w:w="1844"/>
        <w:gridCol w:w="2039"/>
        <w:gridCol w:w="1942"/>
        <w:gridCol w:w="1527"/>
        <w:gridCol w:w="1578"/>
        <w:gridCol w:w="1818"/>
        <w:gridCol w:w="1687"/>
        <w:gridCol w:w="1825"/>
        <w:gridCol w:w="2136"/>
      </w:tblGrid>
      <w:tr w:rsidR="00784720" w:rsidRPr="00784720" w14:paraId="59E5469B" w14:textId="77777777" w:rsidTr="006B4C3A">
        <w:trPr>
          <w:trHeight w:val="550"/>
        </w:trPr>
        <w:tc>
          <w:tcPr>
            <w:tcW w:w="12806" w:type="dxa"/>
            <w:gridSpan w:val="6"/>
            <w:tcBorders>
              <w:top w:val="nil"/>
              <w:left w:val="nil"/>
              <w:bottom w:val="single" w:sz="4" w:space="0" w:color="121E31"/>
              <w:right w:val="nil"/>
            </w:tcBorders>
            <w:shd w:val="clear" w:color="auto" w:fill="auto"/>
          </w:tcPr>
          <w:p w14:paraId="02196A1D" w14:textId="0287E888" w:rsidR="005A07EE" w:rsidRPr="00CD5C55" w:rsidRDefault="00F6546E" w:rsidP="006B4C3A">
            <w:pPr>
              <w:pStyle w:val="Heading1"/>
              <w:spacing w:before="120"/>
              <w:outlineLvl w:val="0"/>
              <w:rPr>
                <w:rFonts w:ascii="ITC Avant Garde Gothic" w:hAnsi="ITC Avant Garde Gothic" w:cs="Arial"/>
                <w:bCs/>
                <w:color w:val="4B8B42"/>
                <w:spacing w:val="12"/>
              </w:rPr>
            </w:pPr>
            <w:r w:rsidRPr="00CD5C55">
              <w:rPr>
                <w:rFonts w:ascii="ITC Avant Garde Gothic" w:hAnsi="ITC Avant Garde Gothic" w:cs="Arial"/>
                <w:bCs/>
                <w:color w:val="4B8B42"/>
                <w:spacing w:val="12"/>
              </w:rPr>
              <w:t>Appendix B: Key Functions</w:t>
            </w:r>
          </w:p>
          <w:p w14:paraId="45A0F903" w14:textId="13AA29FC" w:rsidR="006B4C3A" w:rsidRPr="006B4C3A" w:rsidRDefault="006B4C3A" w:rsidP="006B4C3A"/>
        </w:tc>
        <w:tc>
          <w:tcPr>
            <w:tcW w:w="1666" w:type="dxa"/>
            <w:tcBorders>
              <w:top w:val="nil"/>
              <w:left w:val="nil"/>
              <w:bottom w:val="single" w:sz="4" w:space="0" w:color="121E31"/>
              <w:right w:val="nil"/>
            </w:tcBorders>
            <w:shd w:val="clear" w:color="auto" w:fill="auto"/>
          </w:tcPr>
          <w:p w14:paraId="4B7DB318" w14:textId="77777777" w:rsidR="005A07EE" w:rsidRPr="00784720" w:rsidRDefault="005A07EE" w:rsidP="006B4C3A">
            <w:pPr>
              <w:pStyle w:val="Heading1"/>
              <w:spacing w:before="120"/>
              <w:jc w:val="center"/>
              <w:outlineLvl w:val="0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121E31"/>
              <w:right w:val="nil"/>
            </w:tcBorders>
            <w:shd w:val="clear" w:color="auto" w:fill="auto"/>
          </w:tcPr>
          <w:p w14:paraId="304C72BE" w14:textId="77777777" w:rsidR="005A07EE" w:rsidRPr="00784720" w:rsidRDefault="005A07EE" w:rsidP="006B4C3A">
            <w:pPr>
              <w:pStyle w:val="Heading1"/>
              <w:spacing w:before="120"/>
              <w:jc w:val="center"/>
              <w:outlineLvl w:val="0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121E31"/>
              <w:right w:val="nil"/>
            </w:tcBorders>
            <w:shd w:val="clear" w:color="auto" w:fill="auto"/>
          </w:tcPr>
          <w:p w14:paraId="7FDAA063" w14:textId="77777777" w:rsidR="005A07EE" w:rsidRPr="00784720" w:rsidRDefault="005A07EE" w:rsidP="006B4C3A">
            <w:pPr>
              <w:pStyle w:val="Heading1"/>
              <w:spacing w:before="120"/>
              <w:jc w:val="center"/>
              <w:outlineLvl w:val="0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121E31"/>
              <w:right w:val="nil"/>
            </w:tcBorders>
            <w:shd w:val="clear" w:color="auto" w:fill="auto"/>
          </w:tcPr>
          <w:p w14:paraId="0147ED1B" w14:textId="77777777" w:rsidR="005A07EE" w:rsidRPr="00784720" w:rsidRDefault="005A07EE" w:rsidP="006B4C3A">
            <w:pPr>
              <w:pStyle w:val="Heading1"/>
              <w:spacing w:before="120"/>
              <w:jc w:val="center"/>
              <w:outlineLvl w:val="0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121E31"/>
              <w:right w:val="nil"/>
            </w:tcBorders>
            <w:shd w:val="clear" w:color="auto" w:fill="auto"/>
          </w:tcPr>
          <w:p w14:paraId="3F5FD117" w14:textId="77777777" w:rsidR="005A07EE" w:rsidRPr="00784720" w:rsidRDefault="005A07EE" w:rsidP="006B4C3A">
            <w:pPr>
              <w:pStyle w:val="Heading1"/>
              <w:spacing w:before="120"/>
              <w:jc w:val="center"/>
              <w:outlineLvl w:val="0"/>
              <w:rPr>
                <w:rFonts w:ascii="Arial" w:hAnsi="Arial" w:cs="Arial"/>
                <w:b w:val="0"/>
                <w:color w:val="000000" w:themeColor="text1"/>
              </w:rPr>
            </w:pPr>
          </w:p>
        </w:tc>
      </w:tr>
      <w:tr w:rsidR="006B4C3A" w:rsidRPr="00784720" w14:paraId="46D7FD26" w14:textId="77777777" w:rsidTr="006B4C3A">
        <w:trPr>
          <w:trHeight w:val="966"/>
        </w:trPr>
        <w:tc>
          <w:tcPr>
            <w:tcW w:w="2689" w:type="dxa"/>
            <w:tcBorders>
              <w:top w:val="single" w:sz="4" w:space="0" w:color="121E31"/>
              <w:bottom w:val="single" w:sz="4" w:space="0" w:color="121E31"/>
            </w:tcBorders>
            <w:shd w:val="clear" w:color="auto" w:fill="auto"/>
          </w:tcPr>
          <w:p w14:paraId="4BD29926" w14:textId="77777777" w:rsidR="005A07EE" w:rsidRPr="00784720" w:rsidRDefault="005A07EE" w:rsidP="006B4C3A">
            <w:pPr>
              <w:rPr>
                <w:rFonts w:ascii="Arial" w:hAnsi="Arial" w:cs="Arial"/>
                <w:bCs w:val="0"/>
                <w:color w:val="000000" w:themeColor="text1"/>
              </w:rPr>
            </w:pPr>
          </w:p>
          <w:p w14:paraId="694A35C5" w14:textId="77777777" w:rsidR="005A07EE" w:rsidRPr="00784720" w:rsidRDefault="003C36D5" w:rsidP="006B4C3A">
            <w:pPr>
              <w:tabs>
                <w:tab w:val="left" w:pos="709"/>
              </w:tabs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784720">
              <w:rPr>
                <w:rFonts w:ascii="Arial" w:hAnsi="Arial" w:cs="Arial"/>
                <w:bCs w:val="0"/>
                <w:noProof/>
                <w:color w:val="000000" w:themeColor="text1"/>
                <w:lang w:eastAsia="en-AU"/>
              </w:rPr>
              <w:drawing>
                <wp:inline distT="0" distB="0" distL="0" distR="0" wp14:anchorId="51B655B3" wp14:editId="5B02932F">
                  <wp:extent cx="1570008" cy="268057"/>
                  <wp:effectExtent l="0" t="0" r="0" b="0"/>
                  <wp:docPr id="16" name="Picture 16" descr="G:\2018 - 19 Annual Report\Logos\IBAC logo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2018 - 19 Annual Report\Logos\IBAC logo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301" cy="271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tcBorders>
              <w:top w:val="single" w:sz="4" w:space="0" w:color="121E31"/>
              <w:bottom w:val="single" w:sz="4" w:space="0" w:color="121E31"/>
            </w:tcBorders>
            <w:shd w:val="clear" w:color="auto" w:fill="auto"/>
          </w:tcPr>
          <w:p w14:paraId="5EFDC724" w14:textId="77777777" w:rsidR="003C36D5" w:rsidRPr="00784720" w:rsidRDefault="003C36D5" w:rsidP="006B4C3A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lang w:eastAsia="en-AU"/>
              </w:rPr>
            </w:pPr>
          </w:p>
          <w:p w14:paraId="48CDA497" w14:textId="77777777" w:rsidR="005A07EE" w:rsidRPr="00784720" w:rsidRDefault="003C36D5" w:rsidP="006B4C3A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784720">
              <w:rPr>
                <w:rFonts w:ascii="Arial" w:hAnsi="Arial" w:cs="Arial"/>
                <w:bCs w:val="0"/>
                <w:noProof/>
                <w:color w:val="000000" w:themeColor="text1"/>
                <w:lang w:eastAsia="en-AU"/>
              </w:rPr>
              <w:drawing>
                <wp:inline distT="0" distB="0" distL="0" distR="0" wp14:anchorId="0CD56624" wp14:editId="71BC346A">
                  <wp:extent cx="1224951" cy="212531"/>
                  <wp:effectExtent l="0" t="0" r="0" b="0"/>
                  <wp:docPr id="3" name="Picture 3" descr="G:\2018 - 19 Annual Report\Logos\VO logo 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2018 - 19 Annual Report\Logos\VO logo 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252" cy="212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tcBorders>
              <w:top w:val="single" w:sz="4" w:space="0" w:color="121E31"/>
              <w:bottom w:val="single" w:sz="4" w:space="0" w:color="121E31"/>
            </w:tcBorders>
            <w:shd w:val="clear" w:color="auto" w:fill="auto"/>
          </w:tcPr>
          <w:p w14:paraId="14302002" w14:textId="77777777" w:rsidR="005A07EE" w:rsidRPr="00784720" w:rsidRDefault="005A07EE" w:rsidP="006B4C3A">
            <w:pPr>
              <w:rPr>
                <w:rFonts w:ascii="Arial" w:hAnsi="Arial" w:cs="Arial"/>
                <w:bCs w:val="0"/>
                <w:color w:val="000000" w:themeColor="text1"/>
              </w:rPr>
            </w:pPr>
            <w:r w:rsidRPr="00784720">
              <w:rPr>
                <w:rFonts w:ascii="Arial" w:hAnsi="Arial" w:cs="Arial"/>
                <w:bCs w:val="0"/>
                <w:noProof/>
                <w:color w:val="000000" w:themeColor="text1"/>
                <w:lang w:eastAsia="en-AU"/>
              </w:rPr>
              <w:drawing>
                <wp:anchor distT="0" distB="0" distL="114300" distR="114300" simplePos="0" relativeHeight="251706368" behindDoc="0" locked="0" layoutInCell="1" allowOverlap="1" wp14:anchorId="5C33AF55" wp14:editId="648138CD">
                  <wp:simplePos x="0" y="0"/>
                  <wp:positionH relativeFrom="column">
                    <wp:posOffset>28055</wp:posOffset>
                  </wp:positionH>
                  <wp:positionV relativeFrom="paragraph">
                    <wp:posOffset>109855</wp:posOffset>
                  </wp:positionV>
                  <wp:extent cx="1000861" cy="448310"/>
                  <wp:effectExtent l="0" t="0" r="254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VIClogo_1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861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3" w:type="dxa"/>
            <w:tcBorders>
              <w:top w:val="single" w:sz="4" w:space="0" w:color="121E31"/>
              <w:bottom w:val="single" w:sz="4" w:space="0" w:color="121E31"/>
            </w:tcBorders>
            <w:shd w:val="clear" w:color="auto" w:fill="auto"/>
          </w:tcPr>
          <w:p w14:paraId="15489677" w14:textId="7E7BE453" w:rsidR="005A07EE" w:rsidRPr="00784720" w:rsidRDefault="003C36D5" w:rsidP="006B4C3A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784720">
              <w:rPr>
                <w:rFonts w:ascii="Arial" w:hAnsi="Arial" w:cs="Arial"/>
                <w:bCs w:val="0"/>
                <w:noProof/>
                <w:color w:val="000000" w:themeColor="text1"/>
                <w:lang w:eastAsia="en-AU"/>
              </w:rPr>
              <w:drawing>
                <wp:inline distT="0" distB="0" distL="0" distR="0" wp14:anchorId="5E2BC1C1" wp14:editId="38DCEFA6">
                  <wp:extent cx="810260" cy="775855"/>
                  <wp:effectExtent l="0" t="0" r="2540" b="0"/>
                  <wp:docPr id="18" name="Picture 18" descr="Image result for VA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VA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193" cy="786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3" w:type="dxa"/>
            <w:tcBorders>
              <w:top w:val="single" w:sz="4" w:space="0" w:color="121E31"/>
              <w:bottom w:val="single" w:sz="4" w:space="0" w:color="121E31"/>
            </w:tcBorders>
            <w:shd w:val="clear" w:color="auto" w:fill="auto"/>
          </w:tcPr>
          <w:p w14:paraId="1CC10D61" w14:textId="77777777" w:rsidR="005A07EE" w:rsidRPr="00784720" w:rsidRDefault="004E5EFA" w:rsidP="006B4C3A">
            <w:pPr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784720">
              <w:rPr>
                <w:rFonts w:ascii="Arial" w:hAnsi="Arial" w:cs="Arial"/>
                <w:bCs w:val="0"/>
                <w:noProof/>
                <w:color w:val="000000" w:themeColor="text1"/>
                <w:lang w:eastAsia="en-AU"/>
              </w:rPr>
              <w:drawing>
                <wp:inline distT="0" distB="0" distL="0" distR="0" wp14:anchorId="6C92985C" wp14:editId="4EEBE00E">
                  <wp:extent cx="793630" cy="689928"/>
                  <wp:effectExtent l="0" t="0" r="6985" b="0"/>
                  <wp:docPr id="13" name="Picture 13" descr="G:\2018 - 19 Annual Report\Logos\OCE Office of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2018 - 19 Annual Report\Logos\OCE Office of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690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  <w:tcBorders>
              <w:top w:val="single" w:sz="4" w:space="0" w:color="121E31"/>
              <w:bottom w:val="single" w:sz="4" w:space="0" w:color="121E31"/>
            </w:tcBorders>
            <w:shd w:val="clear" w:color="auto" w:fill="auto"/>
          </w:tcPr>
          <w:p w14:paraId="352AF3EB" w14:textId="77777777" w:rsidR="005A07EE" w:rsidRPr="00784720" w:rsidRDefault="005A07EE" w:rsidP="006B4C3A">
            <w:pPr>
              <w:rPr>
                <w:rFonts w:ascii="Arial" w:hAnsi="Arial" w:cs="Arial"/>
                <w:bCs w:val="0"/>
                <w:color w:val="000000" w:themeColor="text1"/>
              </w:rPr>
            </w:pPr>
            <w:r w:rsidRPr="00784720">
              <w:rPr>
                <w:rFonts w:ascii="Arial" w:hAnsi="Arial" w:cs="Arial"/>
                <w:bCs w:val="0"/>
                <w:noProof/>
                <w:color w:val="000000" w:themeColor="text1"/>
                <w:lang w:eastAsia="en-AU"/>
              </w:rPr>
              <w:drawing>
                <wp:anchor distT="0" distB="0" distL="114300" distR="114300" simplePos="0" relativeHeight="251707392" behindDoc="0" locked="0" layoutInCell="1" allowOverlap="1" wp14:anchorId="49FF62CF" wp14:editId="34F6DCA3">
                  <wp:simplePos x="0" y="0"/>
                  <wp:positionH relativeFrom="column">
                    <wp:posOffset>-44219</wp:posOffset>
                  </wp:positionH>
                  <wp:positionV relativeFrom="paragraph">
                    <wp:posOffset>111471</wp:posOffset>
                  </wp:positionV>
                  <wp:extent cx="879345" cy="407497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766" cy="419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4720">
              <w:rPr>
                <w:rFonts w:ascii="Arial" w:hAnsi="Arial" w:cs="Arial"/>
                <w:bCs w:val="0"/>
                <w:color w:val="000000" w:themeColor="text1"/>
              </w:rPr>
              <w:t xml:space="preserve">  </w:t>
            </w:r>
          </w:p>
        </w:tc>
        <w:tc>
          <w:tcPr>
            <w:tcW w:w="1666" w:type="dxa"/>
            <w:tcBorders>
              <w:top w:val="single" w:sz="4" w:space="0" w:color="121E31"/>
              <w:bottom w:val="single" w:sz="4" w:space="0" w:color="121E31"/>
            </w:tcBorders>
            <w:shd w:val="clear" w:color="auto" w:fill="auto"/>
          </w:tcPr>
          <w:p w14:paraId="4BDC4241" w14:textId="77777777" w:rsidR="004E5EFA" w:rsidRPr="00784720" w:rsidRDefault="004E5EFA" w:rsidP="006B4C3A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lang w:eastAsia="en-AU"/>
              </w:rPr>
            </w:pPr>
          </w:p>
          <w:p w14:paraId="5BE6A72E" w14:textId="77777777" w:rsidR="005A07EE" w:rsidRPr="00784720" w:rsidRDefault="004E5EFA" w:rsidP="006B4C3A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lang w:eastAsia="en-AU"/>
              </w:rPr>
            </w:pPr>
            <w:r w:rsidRPr="00784720">
              <w:rPr>
                <w:rFonts w:ascii="Arial" w:hAnsi="Arial" w:cs="Arial"/>
                <w:bCs w:val="0"/>
                <w:noProof/>
                <w:color w:val="000000" w:themeColor="text1"/>
                <w:lang w:eastAsia="en-AU"/>
              </w:rPr>
              <w:drawing>
                <wp:inline distT="0" distB="0" distL="0" distR="0" wp14:anchorId="41A852C7" wp14:editId="717C6D36">
                  <wp:extent cx="483080" cy="25589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289" cy="25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single" w:sz="4" w:space="0" w:color="121E31"/>
              <w:bottom w:val="single" w:sz="4" w:space="0" w:color="121E31"/>
            </w:tcBorders>
            <w:shd w:val="clear" w:color="auto" w:fill="auto"/>
          </w:tcPr>
          <w:p w14:paraId="3AA87B4F" w14:textId="77777777" w:rsidR="005A07EE" w:rsidRPr="00784720" w:rsidRDefault="006D4461" w:rsidP="006B4C3A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lang w:eastAsia="en-AU"/>
              </w:rPr>
            </w:pPr>
            <w:r w:rsidRPr="00784720">
              <w:rPr>
                <w:rFonts w:ascii="Arial" w:hAnsi="Arial" w:cs="Arial"/>
                <w:bCs w:val="0"/>
                <w:noProof/>
                <w:color w:val="000000" w:themeColor="text1"/>
                <w:lang w:eastAsia="en-AU"/>
              </w:rPr>
              <w:drawing>
                <wp:inline distT="0" distB="0" distL="0" distR="0" wp14:anchorId="4D76B76A" wp14:editId="5E672EA7">
                  <wp:extent cx="981038" cy="612475"/>
                  <wp:effectExtent l="0" t="0" r="0" b="0"/>
                  <wp:docPr id="83" name="Picture 83" descr="Image result for victoria polic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victoria polic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115" cy="612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  <w:tcBorders>
              <w:top w:val="single" w:sz="4" w:space="0" w:color="121E31"/>
              <w:bottom w:val="single" w:sz="4" w:space="0" w:color="121E31"/>
            </w:tcBorders>
            <w:shd w:val="clear" w:color="auto" w:fill="auto"/>
          </w:tcPr>
          <w:p w14:paraId="6C8F593E" w14:textId="77777777" w:rsidR="005A07EE" w:rsidRPr="00784720" w:rsidRDefault="005A07EE" w:rsidP="006B4C3A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lang w:eastAsia="en-AU"/>
              </w:rPr>
            </w:pPr>
          </w:p>
          <w:p w14:paraId="525F8DAB" w14:textId="77777777" w:rsidR="00080E5F" w:rsidRPr="00784720" w:rsidRDefault="006D4461" w:rsidP="006B4C3A">
            <w:pPr>
              <w:rPr>
                <w:rFonts w:ascii="Arial" w:hAnsi="Arial" w:cs="Arial"/>
                <w:bCs w:val="0"/>
                <w:noProof/>
                <w:color w:val="000000" w:themeColor="text1"/>
                <w:lang w:eastAsia="en-AU"/>
              </w:rPr>
            </w:pPr>
            <w:r w:rsidRPr="00784720">
              <w:rPr>
                <w:rFonts w:ascii="Arial" w:hAnsi="Arial" w:cs="Arial"/>
                <w:bCs w:val="0"/>
                <w:noProof/>
                <w:color w:val="000000" w:themeColor="text1"/>
                <w:lang w:eastAsia="en-AU"/>
              </w:rPr>
              <w:drawing>
                <wp:inline distT="0" distB="0" distL="0" distR="0" wp14:anchorId="3775B202" wp14:editId="393ABB70">
                  <wp:extent cx="914400" cy="425116"/>
                  <wp:effectExtent l="0" t="0" r="0" b="0"/>
                  <wp:docPr id="8" name="Picture 8" descr="Image result for Game Management author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Game Management author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124" cy="42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21E31"/>
              <w:bottom w:val="single" w:sz="4" w:space="0" w:color="121E31"/>
            </w:tcBorders>
            <w:shd w:val="clear" w:color="auto" w:fill="auto"/>
          </w:tcPr>
          <w:p w14:paraId="36CAB38F" w14:textId="77777777" w:rsidR="005A07EE" w:rsidRPr="00784720" w:rsidRDefault="00710EC4" w:rsidP="006B4C3A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lang w:eastAsia="en-AU"/>
              </w:rPr>
            </w:pPr>
            <w:r w:rsidRPr="00784720">
              <w:rPr>
                <w:rFonts w:ascii="Arial" w:hAnsi="Arial" w:cs="Arial"/>
                <w:bCs w:val="0"/>
                <w:noProof/>
                <w:color w:val="000000" w:themeColor="text1"/>
                <w:lang w:eastAsia="en-AU"/>
              </w:rPr>
              <w:drawing>
                <wp:inline distT="0" distB="0" distL="0" distR="0" wp14:anchorId="1D3580D2" wp14:editId="289BB68E">
                  <wp:extent cx="776378" cy="675449"/>
                  <wp:effectExtent l="0" t="0" r="5080" b="0"/>
                  <wp:docPr id="10" name="Picture 10" descr="Image result for Victorian Fisheries author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Victorian Fisheries author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069" cy="676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tcBorders>
              <w:top w:val="single" w:sz="4" w:space="0" w:color="121E31"/>
              <w:bottom w:val="single" w:sz="4" w:space="0" w:color="121E31"/>
            </w:tcBorders>
            <w:shd w:val="clear" w:color="auto" w:fill="auto"/>
          </w:tcPr>
          <w:p w14:paraId="19575802" w14:textId="77777777" w:rsidR="005A07EE" w:rsidRPr="00784720" w:rsidRDefault="00710EC4" w:rsidP="006B4C3A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lang w:eastAsia="en-AU"/>
              </w:rPr>
            </w:pPr>
            <w:r w:rsidRPr="00784720">
              <w:rPr>
                <w:rFonts w:ascii="Arial" w:hAnsi="Arial" w:cs="Arial"/>
                <w:bCs w:val="0"/>
                <w:noProof/>
                <w:color w:val="000000" w:themeColor="text1"/>
                <w:lang w:eastAsia="en-AU"/>
              </w:rPr>
              <w:drawing>
                <wp:inline distT="0" distB="0" distL="0" distR="0" wp14:anchorId="78B73D40" wp14:editId="21B00C94">
                  <wp:extent cx="1214928" cy="621000"/>
                  <wp:effectExtent l="0" t="0" r="4445" b="1905"/>
                  <wp:docPr id="11" name="Picture 11" descr="Image result for delw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elw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209" cy="63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C3A" w:rsidRPr="00784720" w14:paraId="174A2A99" w14:textId="77777777" w:rsidTr="006B4C3A">
        <w:trPr>
          <w:trHeight w:val="506"/>
        </w:trPr>
        <w:tc>
          <w:tcPr>
            <w:tcW w:w="12806" w:type="dxa"/>
            <w:gridSpan w:val="6"/>
            <w:tcBorders>
              <w:top w:val="single" w:sz="4" w:space="0" w:color="121E31"/>
              <w:left w:val="single" w:sz="4" w:space="0" w:color="121E31"/>
              <w:bottom w:val="single" w:sz="4" w:space="0" w:color="121E31"/>
              <w:right w:val="nil"/>
            </w:tcBorders>
            <w:shd w:val="clear" w:color="auto" w:fill="auto"/>
          </w:tcPr>
          <w:p w14:paraId="67176C06" w14:textId="77777777" w:rsidR="005A07EE" w:rsidRPr="00784720" w:rsidRDefault="005A07EE" w:rsidP="006B4C3A">
            <w:pPr>
              <w:pStyle w:val="Heading2"/>
              <w:spacing w:before="120" w:after="120"/>
              <w:outlineLvl w:val="1"/>
              <w:rPr>
                <w:rFonts w:ascii="Arial" w:hAnsi="Arial" w:cs="Arial"/>
                <w:bCs/>
                <w:color w:val="000000" w:themeColor="text1"/>
              </w:rPr>
            </w:pPr>
            <w:r w:rsidRPr="00784720">
              <w:rPr>
                <w:rFonts w:ascii="Arial" w:hAnsi="Arial" w:cs="Arial"/>
                <w:bCs/>
                <w:color w:val="000000" w:themeColor="text1"/>
              </w:rPr>
              <w:t>For each agency, the Victorian Inspectorate has these different functions:</w:t>
            </w:r>
          </w:p>
        </w:tc>
        <w:tc>
          <w:tcPr>
            <w:tcW w:w="1666" w:type="dxa"/>
            <w:tcBorders>
              <w:top w:val="single" w:sz="4" w:space="0" w:color="121E31"/>
              <w:left w:val="nil"/>
              <w:bottom w:val="single" w:sz="4" w:space="0" w:color="121E31"/>
              <w:right w:val="nil"/>
            </w:tcBorders>
            <w:shd w:val="clear" w:color="auto" w:fill="auto"/>
          </w:tcPr>
          <w:p w14:paraId="08981E7D" w14:textId="77777777" w:rsidR="005A07EE" w:rsidRPr="00784720" w:rsidRDefault="005A07EE" w:rsidP="006B4C3A">
            <w:pPr>
              <w:pStyle w:val="Heading2"/>
              <w:spacing w:before="120" w:after="120"/>
              <w:outlineLvl w:val="1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121E31"/>
              <w:left w:val="nil"/>
              <w:bottom w:val="single" w:sz="4" w:space="0" w:color="121E31"/>
              <w:right w:val="nil"/>
            </w:tcBorders>
            <w:shd w:val="clear" w:color="auto" w:fill="auto"/>
          </w:tcPr>
          <w:p w14:paraId="4ED661FF" w14:textId="77777777" w:rsidR="005A07EE" w:rsidRPr="00784720" w:rsidRDefault="005A07EE" w:rsidP="006B4C3A">
            <w:pPr>
              <w:pStyle w:val="Heading2"/>
              <w:spacing w:before="120" w:after="120"/>
              <w:outlineLvl w:val="1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121E31"/>
              <w:left w:val="nil"/>
              <w:bottom w:val="single" w:sz="4" w:space="0" w:color="121E31"/>
              <w:right w:val="nil"/>
            </w:tcBorders>
            <w:shd w:val="clear" w:color="auto" w:fill="auto"/>
          </w:tcPr>
          <w:p w14:paraId="117A6382" w14:textId="77777777" w:rsidR="005A07EE" w:rsidRPr="00784720" w:rsidRDefault="005A07EE" w:rsidP="006B4C3A">
            <w:pPr>
              <w:pStyle w:val="Heading2"/>
              <w:spacing w:before="120" w:after="120"/>
              <w:outlineLvl w:val="1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939" w:type="dxa"/>
            <w:tcBorders>
              <w:top w:val="single" w:sz="4" w:space="0" w:color="121E31"/>
              <w:left w:val="nil"/>
              <w:bottom w:val="single" w:sz="4" w:space="0" w:color="121E31"/>
              <w:right w:val="nil"/>
            </w:tcBorders>
            <w:shd w:val="clear" w:color="auto" w:fill="auto"/>
          </w:tcPr>
          <w:p w14:paraId="1F482CF9" w14:textId="77777777" w:rsidR="005A07EE" w:rsidRPr="00784720" w:rsidRDefault="005A07EE" w:rsidP="006B4C3A">
            <w:pPr>
              <w:pStyle w:val="Heading2"/>
              <w:spacing w:before="120" w:after="120"/>
              <w:outlineLvl w:val="1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286" w:type="dxa"/>
            <w:tcBorders>
              <w:top w:val="single" w:sz="4" w:space="0" w:color="121E31"/>
              <w:left w:val="nil"/>
              <w:bottom w:val="single" w:sz="4" w:space="0" w:color="121E31"/>
              <w:right w:val="single" w:sz="4" w:space="0" w:color="121E31"/>
            </w:tcBorders>
            <w:shd w:val="clear" w:color="auto" w:fill="auto"/>
          </w:tcPr>
          <w:p w14:paraId="2EF20F85" w14:textId="77777777" w:rsidR="005A07EE" w:rsidRPr="00784720" w:rsidRDefault="005A07EE" w:rsidP="006B4C3A">
            <w:pPr>
              <w:pStyle w:val="Heading2"/>
              <w:spacing w:before="120" w:after="120"/>
              <w:outlineLvl w:val="1"/>
              <w:rPr>
                <w:rFonts w:ascii="Arial" w:hAnsi="Arial" w:cs="Arial"/>
                <w:b w:val="0"/>
                <w:color w:val="000000" w:themeColor="text1"/>
              </w:rPr>
            </w:pPr>
          </w:p>
        </w:tc>
      </w:tr>
      <w:tr w:rsidR="00784720" w:rsidRPr="00784720" w14:paraId="22E55BE7" w14:textId="77777777" w:rsidTr="006B4C3A">
        <w:trPr>
          <w:trHeight w:val="227"/>
        </w:trPr>
        <w:tc>
          <w:tcPr>
            <w:tcW w:w="2689" w:type="dxa"/>
            <w:tcBorders>
              <w:top w:val="single" w:sz="4" w:space="0" w:color="121E31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24D81D72" w14:textId="58379A02" w:rsidR="005A07EE" w:rsidRPr="00E7694A" w:rsidRDefault="005A07EE" w:rsidP="006B4C3A">
            <w:pPr>
              <w:ind w:left="-11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Receives and assesses</w:t>
            </w:r>
            <w:r w:rsidR="006B4C3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complaints about conduct of IBAC &amp; IBAC personnel</w:t>
            </w:r>
          </w:p>
          <w:p w14:paraId="11EE6693" w14:textId="77777777" w:rsidR="00C77DA7" w:rsidRPr="00E7694A" w:rsidRDefault="00C77DA7" w:rsidP="006B4C3A">
            <w:pPr>
              <w:pStyle w:val="ListParagraph"/>
              <w:ind w:left="-11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  <w:p w14:paraId="01E1C5CF" w14:textId="77777777" w:rsidR="005A07EE" w:rsidRPr="00E7694A" w:rsidRDefault="005A07EE" w:rsidP="006B4C3A">
            <w:pPr>
              <w:ind w:left="-11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 xml:space="preserve">Investigates conduct </w:t>
            </w:r>
          </w:p>
          <w:p w14:paraId="4D6E56B6" w14:textId="77777777" w:rsidR="00371320" w:rsidRPr="00E7694A" w:rsidRDefault="00371320" w:rsidP="006B4C3A">
            <w:pPr>
              <w:ind w:left="-11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  <w:p w14:paraId="1D016D06" w14:textId="77777777" w:rsidR="00371320" w:rsidRPr="00E7694A" w:rsidRDefault="00371320" w:rsidP="006B4C3A">
            <w:pPr>
              <w:ind w:left="-11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Investigates a public interest complaint (PIC) about IBAC or an IBAC officer</w:t>
            </w:r>
          </w:p>
        </w:tc>
        <w:tc>
          <w:tcPr>
            <w:tcW w:w="2145" w:type="dxa"/>
            <w:tcBorders>
              <w:top w:val="single" w:sz="4" w:space="0" w:color="121E31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3AE66E93" w14:textId="18027619" w:rsidR="00C77DA7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Receives and assesses complaints about conduct of VO officers</w:t>
            </w:r>
          </w:p>
          <w:p w14:paraId="31796E88" w14:textId="77777777" w:rsidR="00E7694A" w:rsidRPr="00E7694A" w:rsidRDefault="00E7694A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  <w:p w14:paraId="352CDE23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 xml:space="preserve">Investigates conduct </w:t>
            </w:r>
          </w:p>
        </w:tc>
        <w:tc>
          <w:tcPr>
            <w:tcW w:w="2045" w:type="dxa"/>
            <w:tcBorders>
              <w:top w:val="single" w:sz="4" w:space="0" w:color="121E31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1552AB4D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Receives and assesses complaints about conduct of OVIC officers</w:t>
            </w:r>
          </w:p>
          <w:p w14:paraId="1F82607F" w14:textId="77777777" w:rsidR="005A07EE" w:rsidRPr="00E7694A" w:rsidRDefault="005A07EE" w:rsidP="006B4C3A">
            <w:pPr>
              <w:pStyle w:val="ListParagraph"/>
              <w:ind w:left="426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  <w:p w14:paraId="67BCB277" w14:textId="77777777" w:rsidR="00C77DA7" w:rsidRPr="00E7694A" w:rsidRDefault="00C77DA7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Investigates conduct</w:t>
            </w:r>
          </w:p>
          <w:p w14:paraId="4D176043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121E31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14D4CCCC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Receives and assesses complaints about conduct of VAGO officers</w:t>
            </w:r>
          </w:p>
          <w:p w14:paraId="13AC1C6C" w14:textId="77777777" w:rsidR="00C77DA7" w:rsidRPr="00E7694A" w:rsidRDefault="00C77DA7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  <w:p w14:paraId="4CCB07D1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 xml:space="preserve">Investigates conduct </w:t>
            </w:r>
          </w:p>
        </w:tc>
        <w:tc>
          <w:tcPr>
            <w:tcW w:w="2073" w:type="dxa"/>
            <w:tcBorders>
              <w:top w:val="single" w:sz="4" w:space="0" w:color="121E31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23F7B9B0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Receives and assesses complaints about conduct of the Chief Examiner or Examiners</w:t>
            </w:r>
          </w:p>
          <w:p w14:paraId="719B69D4" w14:textId="77777777" w:rsidR="00C77DA7" w:rsidRPr="00E7694A" w:rsidRDefault="00C77DA7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  <w:p w14:paraId="7237E27F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Investigates the conduct of the Chief Examiner and Examiners</w:t>
            </w:r>
          </w:p>
        </w:tc>
        <w:tc>
          <w:tcPr>
            <w:tcW w:w="1651" w:type="dxa"/>
            <w:tcBorders>
              <w:top w:val="single" w:sz="4" w:space="0" w:color="121E31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64F92556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121E31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451A302E" w14:textId="77777777" w:rsidR="005A07EE" w:rsidRPr="00E7694A" w:rsidRDefault="00982AE7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Investigates PIC</w:t>
            </w:r>
            <w:r w:rsidR="00371320"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s about a PIM</w:t>
            </w:r>
          </w:p>
        </w:tc>
        <w:tc>
          <w:tcPr>
            <w:tcW w:w="1836" w:type="dxa"/>
            <w:tcBorders>
              <w:top w:val="single" w:sz="4" w:space="0" w:color="121E31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18B729AF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121E31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45C6D14D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121E31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77584FAF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121E31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11F5EF2D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6B4C3A" w:rsidRPr="00784720" w14:paraId="434ED192" w14:textId="77777777" w:rsidTr="006B4C3A">
        <w:trPr>
          <w:trHeight w:val="227"/>
        </w:trPr>
        <w:tc>
          <w:tcPr>
            <w:tcW w:w="2689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auto"/>
          </w:tcPr>
          <w:p w14:paraId="54037C7E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Monitors the exercise of coercive powers</w:t>
            </w:r>
          </w:p>
        </w:tc>
        <w:tc>
          <w:tcPr>
            <w:tcW w:w="2145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auto"/>
          </w:tcPr>
          <w:p w14:paraId="24CBC3DE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Monitors the exercise of coercive powers</w:t>
            </w:r>
          </w:p>
        </w:tc>
        <w:tc>
          <w:tcPr>
            <w:tcW w:w="2045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auto"/>
          </w:tcPr>
          <w:p w14:paraId="3825EA2D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Monitors the exercise of coercive powers</w:t>
            </w:r>
          </w:p>
        </w:tc>
        <w:tc>
          <w:tcPr>
            <w:tcW w:w="2203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auto"/>
          </w:tcPr>
          <w:p w14:paraId="2195819D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Monitors the exercise of coercive powers</w:t>
            </w:r>
          </w:p>
        </w:tc>
        <w:tc>
          <w:tcPr>
            <w:tcW w:w="2073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auto"/>
          </w:tcPr>
          <w:p w14:paraId="7F9A1F86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Monitors the exercise of coercive powers</w:t>
            </w:r>
          </w:p>
        </w:tc>
        <w:tc>
          <w:tcPr>
            <w:tcW w:w="1651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56B8606C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Monitors the exercise of coercive powers</w:t>
            </w:r>
          </w:p>
        </w:tc>
        <w:tc>
          <w:tcPr>
            <w:tcW w:w="166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7A57FC1A" w14:textId="77777777" w:rsidR="005A07EE" w:rsidRPr="00E7694A" w:rsidRDefault="005A07EE" w:rsidP="006B4C3A">
            <w:pPr>
              <w:pStyle w:val="ListParagraph"/>
              <w:ind w:left="317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1C6F6EBA" w14:textId="77777777" w:rsidR="005A07EE" w:rsidRPr="00E7694A" w:rsidRDefault="005A07EE" w:rsidP="006B4C3A">
            <w:pPr>
              <w:pStyle w:val="ListParagraph"/>
              <w:ind w:left="317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79F7A404" w14:textId="77777777" w:rsidR="005A07EE" w:rsidRPr="00E7694A" w:rsidRDefault="005A07EE" w:rsidP="006B4C3A">
            <w:pPr>
              <w:pStyle w:val="ListParagraph"/>
              <w:ind w:left="317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2C5C347A" w14:textId="77777777" w:rsidR="005A07EE" w:rsidRPr="00E7694A" w:rsidRDefault="005A07EE" w:rsidP="006B4C3A">
            <w:pPr>
              <w:pStyle w:val="ListParagraph"/>
              <w:ind w:left="317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6855EC15" w14:textId="77777777" w:rsidR="005A07EE" w:rsidRPr="00E7694A" w:rsidRDefault="005A07EE" w:rsidP="006B4C3A">
            <w:pPr>
              <w:pStyle w:val="ListParagraph"/>
              <w:ind w:left="317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784720" w:rsidRPr="00784720" w14:paraId="1CE9DDFD" w14:textId="77777777" w:rsidTr="006B4C3A">
        <w:trPr>
          <w:trHeight w:val="227"/>
        </w:trPr>
        <w:tc>
          <w:tcPr>
            <w:tcW w:w="2689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41CAB61D" w14:textId="77777777" w:rsidR="005A07EE" w:rsidRPr="00E7694A" w:rsidRDefault="005A07EE" w:rsidP="006B4C3A">
            <w:pPr>
              <w:ind w:left="36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18B95BD7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Monitors compliance with procedural fairness</w:t>
            </w:r>
          </w:p>
        </w:tc>
        <w:tc>
          <w:tcPr>
            <w:tcW w:w="2045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1A0510C3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Monitors compliance with procedural fairness</w:t>
            </w:r>
          </w:p>
        </w:tc>
        <w:tc>
          <w:tcPr>
            <w:tcW w:w="2203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4F60D185" w14:textId="77777777" w:rsidR="005A07EE" w:rsidRPr="00E7694A" w:rsidRDefault="005A07EE" w:rsidP="006B4C3A">
            <w:pPr>
              <w:ind w:left="36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5052BC7F" w14:textId="77777777" w:rsidR="005A07EE" w:rsidRPr="00E7694A" w:rsidRDefault="005A07EE" w:rsidP="006B4C3A">
            <w:pPr>
              <w:ind w:left="36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11164488" w14:textId="77777777" w:rsidR="005A07EE" w:rsidRPr="00E7694A" w:rsidRDefault="005A07EE" w:rsidP="006B4C3A">
            <w:pPr>
              <w:pStyle w:val="ListParagraph"/>
              <w:ind w:left="41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1E4FDA91" w14:textId="77777777" w:rsidR="005A07EE" w:rsidRPr="00E7694A" w:rsidRDefault="005A07EE" w:rsidP="006B4C3A">
            <w:pPr>
              <w:pStyle w:val="ListParagraph"/>
              <w:ind w:left="41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7880B940" w14:textId="77777777" w:rsidR="005A07EE" w:rsidRPr="00E7694A" w:rsidRDefault="005A07EE" w:rsidP="006B4C3A">
            <w:pPr>
              <w:pStyle w:val="ListParagraph"/>
              <w:ind w:left="41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7D4FBE83" w14:textId="77777777" w:rsidR="005A07EE" w:rsidRPr="00E7694A" w:rsidRDefault="005A07EE" w:rsidP="006B4C3A">
            <w:pPr>
              <w:pStyle w:val="ListParagraph"/>
              <w:ind w:left="41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774CA7F0" w14:textId="77777777" w:rsidR="005A07EE" w:rsidRPr="00E7694A" w:rsidRDefault="005A07EE" w:rsidP="006B4C3A">
            <w:pPr>
              <w:pStyle w:val="ListParagraph"/>
              <w:ind w:left="41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52D3A83C" w14:textId="77777777" w:rsidR="005A07EE" w:rsidRPr="00E7694A" w:rsidRDefault="005A07EE" w:rsidP="006B4C3A">
            <w:pPr>
              <w:pStyle w:val="ListParagraph"/>
              <w:ind w:left="41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6B4C3A" w:rsidRPr="00784720" w14:paraId="6C152E27" w14:textId="77777777" w:rsidTr="006B4C3A">
        <w:trPr>
          <w:trHeight w:val="227"/>
        </w:trPr>
        <w:tc>
          <w:tcPr>
            <w:tcW w:w="2689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auto"/>
          </w:tcPr>
          <w:p w14:paraId="52F604BB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Assesses the effectiveness and appropriateness of policies and procedures</w:t>
            </w:r>
            <w:r w:rsidRPr="00E7694A">
              <w:rPr>
                <w:rFonts w:ascii="Arial" w:eastAsia="Times New Roman" w:hAnsi="Arial" w:cs="Arial"/>
                <w:bCs w:val="0"/>
                <w:color w:val="000000" w:themeColor="text1"/>
                <w:sz w:val="18"/>
                <w:szCs w:val="18"/>
                <w:lang w:val="en" w:eastAsia="en-AU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auto"/>
          </w:tcPr>
          <w:p w14:paraId="43206143" w14:textId="77777777" w:rsidR="005A07EE" w:rsidRPr="00E7694A" w:rsidRDefault="005A07EE" w:rsidP="006B4C3A">
            <w:pPr>
              <w:ind w:left="36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auto"/>
          </w:tcPr>
          <w:p w14:paraId="4C400D53" w14:textId="77777777" w:rsidR="005A07EE" w:rsidRPr="00E7694A" w:rsidRDefault="005A07EE" w:rsidP="006B4C3A">
            <w:pPr>
              <w:ind w:left="36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auto"/>
          </w:tcPr>
          <w:p w14:paraId="504BF5A7" w14:textId="77777777" w:rsidR="005A07EE" w:rsidRPr="00E7694A" w:rsidRDefault="005A07EE" w:rsidP="006B4C3A">
            <w:pPr>
              <w:ind w:left="36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auto"/>
          </w:tcPr>
          <w:p w14:paraId="0D1BF2F8" w14:textId="77777777" w:rsidR="005A07EE" w:rsidRPr="00E7694A" w:rsidRDefault="005533C8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Assesses the effectiveness and appropriateness of policies and procedures</w:t>
            </w:r>
          </w:p>
        </w:tc>
        <w:tc>
          <w:tcPr>
            <w:tcW w:w="1651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0444CBC5" w14:textId="77777777" w:rsidR="005A07EE" w:rsidRPr="00E7694A" w:rsidRDefault="005A07EE" w:rsidP="006B4C3A">
            <w:pPr>
              <w:pStyle w:val="ListParagraph"/>
              <w:ind w:left="41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5E49F678" w14:textId="77777777" w:rsidR="005A07EE" w:rsidRPr="00E7694A" w:rsidRDefault="005A07EE" w:rsidP="006B4C3A">
            <w:pPr>
              <w:pStyle w:val="ListParagraph"/>
              <w:ind w:left="41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56813262" w14:textId="77777777" w:rsidR="005A07EE" w:rsidRPr="00E7694A" w:rsidRDefault="005A07EE" w:rsidP="006B4C3A">
            <w:pPr>
              <w:pStyle w:val="ListParagraph"/>
              <w:ind w:left="41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3576BCCF" w14:textId="77777777" w:rsidR="005A07EE" w:rsidRPr="00E7694A" w:rsidRDefault="005A07EE" w:rsidP="006B4C3A">
            <w:pPr>
              <w:pStyle w:val="ListParagraph"/>
              <w:ind w:left="41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2736178F" w14:textId="77777777" w:rsidR="005A07EE" w:rsidRPr="00E7694A" w:rsidRDefault="005A07EE" w:rsidP="006B4C3A">
            <w:pPr>
              <w:pStyle w:val="ListParagraph"/>
              <w:ind w:left="41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613291ED" w14:textId="77777777" w:rsidR="005A07EE" w:rsidRPr="00E7694A" w:rsidRDefault="005A07EE" w:rsidP="006B4C3A">
            <w:pPr>
              <w:pStyle w:val="ListParagraph"/>
              <w:ind w:left="41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E7694A" w:rsidRPr="00784720" w14:paraId="50852C8A" w14:textId="77777777" w:rsidTr="006B4C3A">
        <w:trPr>
          <w:trHeight w:val="227"/>
        </w:trPr>
        <w:tc>
          <w:tcPr>
            <w:tcW w:w="2689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03986E15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Monitors compliance with the IBAC Act and other laws</w:t>
            </w:r>
          </w:p>
        </w:tc>
        <w:tc>
          <w:tcPr>
            <w:tcW w:w="2145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09C3BBED" w14:textId="77777777" w:rsidR="005A07EE" w:rsidRPr="00E7694A" w:rsidRDefault="005A07EE" w:rsidP="006B4C3A">
            <w:pPr>
              <w:ind w:left="36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350D3197" w14:textId="77777777" w:rsidR="005A07EE" w:rsidRPr="00E7694A" w:rsidRDefault="005A07EE" w:rsidP="006B4C3A">
            <w:pPr>
              <w:ind w:left="36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56343410" w14:textId="44F8F6EA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Monitors compliance with sections 30 to 37, 39, 4</w:t>
            </w:r>
            <w:r w:rsidR="003267D3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3</w:t>
            </w: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 xml:space="preserve"> to 46</w:t>
            </w:r>
            <w:r w:rsidR="003267D3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 xml:space="preserve">, 50(1) and </w:t>
            </w: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 xml:space="preserve">51 of the </w:t>
            </w:r>
            <w:r w:rsidRPr="003267D3">
              <w:rPr>
                <w:rFonts w:ascii="Arial" w:hAnsi="Arial" w:cs="Arial"/>
                <w:bCs w:val="0"/>
                <w:i/>
                <w:iCs/>
                <w:color w:val="000000" w:themeColor="text1"/>
                <w:sz w:val="18"/>
                <w:szCs w:val="18"/>
              </w:rPr>
              <w:t>Audit Act 1994</w:t>
            </w:r>
          </w:p>
        </w:tc>
        <w:tc>
          <w:tcPr>
            <w:tcW w:w="2073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2BBE2B39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 xml:space="preserve">Monitors compliance with </w:t>
            </w:r>
            <w:r w:rsidRPr="003B672C">
              <w:rPr>
                <w:rFonts w:ascii="Arial" w:hAnsi="Arial" w:cs="Arial"/>
                <w:bCs w:val="0"/>
                <w:i/>
                <w:iCs/>
                <w:color w:val="000000" w:themeColor="text1"/>
                <w:sz w:val="18"/>
                <w:szCs w:val="18"/>
              </w:rPr>
              <w:t>Major Crime (Investigative Powers) Act 2004</w:t>
            </w:r>
          </w:p>
        </w:tc>
        <w:tc>
          <w:tcPr>
            <w:tcW w:w="1651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398CE247" w14:textId="77777777" w:rsidR="005A07EE" w:rsidRPr="00E7694A" w:rsidRDefault="005A07EE" w:rsidP="006B4C3A">
            <w:pPr>
              <w:pStyle w:val="ListParagraph"/>
              <w:ind w:left="41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6CD19CF3" w14:textId="77777777" w:rsidR="005A07EE" w:rsidRPr="00E7694A" w:rsidRDefault="005A07EE" w:rsidP="006B4C3A">
            <w:pPr>
              <w:pStyle w:val="ListParagraph"/>
              <w:ind w:left="41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407F0A57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 xml:space="preserve">Monitors compliance with </w:t>
            </w:r>
            <w:r w:rsidRPr="003B672C">
              <w:rPr>
                <w:rFonts w:ascii="Arial" w:hAnsi="Arial" w:cs="Arial"/>
                <w:bCs w:val="0"/>
                <w:i/>
                <w:iCs/>
                <w:color w:val="000000" w:themeColor="text1"/>
                <w:sz w:val="18"/>
                <w:szCs w:val="18"/>
              </w:rPr>
              <w:t>Major Crime (Investigative Powers) Act 2004</w:t>
            </w:r>
          </w:p>
        </w:tc>
        <w:tc>
          <w:tcPr>
            <w:tcW w:w="169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64BC9361" w14:textId="77777777" w:rsidR="005A07EE" w:rsidRPr="00E7694A" w:rsidRDefault="005A07EE" w:rsidP="006B4C3A">
            <w:pPr>
              <w:pStyle w:val="ListParagraph"/>
              <w:ind w:left="41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316EE008" w14:textId="77777777" w:rsidR="005A07EE" w:rsidRPr="00E7694A" w:rsidRDefault="005A07EE" w:rsidP="006B4C3A">
            <w:pPr>
              <w:pStyle w:val="ListParagraph"/>
              <w:ind w:left="41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05956D0D" w14:textId="77777777" w:rsidR="005A07EE" w:rsidRPr="00E7694A" w:rsidRDefault="005A07EE" w:rsidP="006B4C3A">
            <w:pPr>
              <w:pStyle w:val="ListParagraph"/>
              <w:ind w:left="41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6B4C3A" w:rsidRPr="00784720" w14:paraId="677C93F7" w14:textId="77777777" w:rsidTr="006B4C3A">
        <w:trPr>
          <w:trHeight w:val="227"/>
        </w:trPr>
        <w:tc>
          <w:tcPr>
            <w:tcW w:w="2689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auto"/>
          </w:tcPr>
          <w:p w14:paraId="200A9967" w14:textId="11015D98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Reviews Public Interest Disclosure (PID) procedures</w:t>
            </w:r>
          </w:p>
        </w:tc>
        <w:tc>
          <w:tcPr>
            <w:tcW w:w="2145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auto"/>
          </w:tcPr>
          <w:p w14:paraId="51ABD424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Reviews PID procedures</w:t>
            </w:r>
          </w:p>
        </w:tc>
        <w:tc>
          <w:tcPr>
            <w:tcW w:w="2045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auto"/>
          </w:tcPr>
          <w:p w14:paraId="47F64D1B" w14:textId="77777777" w:rsidR="005A07EE" w:rsidRPr="00E7694A" w:rsidRDefault="005A07EE" w:rsidP="006B4C3A">
            <w:pPr>
              <w:ind w:left="36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auto"/>
          </w:tcPr>
          <w:p w14:paraId="4EF8F174" w14:textId="77777777" w:rsidR="005A07EE" w:rsidRPr="00E7694A" w:rsidRDefault="005A07EE" w:rsidP="006B4C3A">
            <w:pPr>
              <w:ind w:left="36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auto"/>
          </w:tcPr>
          <w:p w14:paraId="3F53D784" w14:textId="77777777" w:rsidR="005A07EE" w:rsidRPr="00E7694A" w:rsidRDefault="005A07EE" w:rsidP="006B4C3A">
            <w:pPr>
              <w:ind w:left="360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0E7FBDC5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Reviews PID procedures</w:t>
            </w:r>
          </w:p>
        </w:tc>
        <w:tc>
          <w:tcPr>
            <w:tcW w:w="166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559FE7BC" w14:textId="77777777" w:rsidR="005A07EE" w:rsidRPr="00E7694A" w:rsidRDefault="005A07EE" w:rsidP="006B4C3A">
            <w:pPr>
              <w:pStyle w:val="ListParagraph"/>
              <w:ind w:left="317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728A07D6" w14:textId="77777777" w:rsidR="005A07EE" w:rsidRPr="00E7694A" w:rsidRDefault="005A07EE" w:rsidP="006B4C3A">
            <w:pPr>
              <w:pStyle w:val="ListParagraph"/>
              <w:ind w:left="317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345B9634" w14:textId="77777777" w:rsidR="005A07EE" w:rsidRPr="00E7694A" w:rsidRDefault="005A07EE" w:rsidP="006B4C3A">
            <w:pPr>
              <w:pStyle w:val="ListParagraph"/>
              <w:ind w:left="317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389E0D4D" w14:textId="77777777" w:rsidR="005A07EE" w:rsidRPr="00E7694A" w:rsidRDefault="005A07EE" w:rsidP="006B4C3A">
            <w:pPr>
              <w:pStyle w:val="ListParagraph"/>
              <w:ind w:left="317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22711698" w14:textId="77777777" w:rsidR="005A07EE" w:rsidRPr="00E7694A" w:rsidRDefault="005A07EE" w:rsidP="006B4C3A">
            <w:pPr>
              <w:pStyle w:val="ListParagraph"/>
              <w:ind w:left="317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E7694A" w:rsidRPr="00784720" w14:paraId="74C13092" w14:textId="77777777" w:rsidTr="006B4C3A">
        <w:trPr>
          <w:trHeight w:val="227"/>
        </w:trPr>
        <w:tc>
          <w:tcPr>
            <w:tcW w:w="2689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31456743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 xml:space="preserve">Oversees IBAC’s performance of its PID Act functions </w:t>
            </w:r>
          </w:p>
          <w:p w14:paraId="4E974AD5" w14:textId="77777777" w:rsidR="00C77DA7" w:rsidRPr="00E7694A" w:rsidRDefault="00C77DA7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  <w:p w14:paraId="1D1EB0E3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Receives &amp; assesses PIDs about IBAC</w:t>
            </w:r>
          </w:p>
        </w:tc>
        <w:tc>
          <w:tcPr>
            <w:tcW w:w="2145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3D74B055" w14:textId="77777777" w:rsidR="005A07EE" w:rsidRPr="00E7694A" w:rsidRDefault="005A07EE" w:rsidP="006B4C3A">
            <w:pPr>
              <w:ind w:left="66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409D8BBD" w14:textId="77777777" w:rsidR="005A07EE" w:rsidRPr="00E7694A" w:rsidRDefault="005A07EE" w:rsidP="006B4C3A">
            <w:pPr>
              <w:ind w:left="66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7706A9D9" w14:textId="77777777" w:rsidR="005A07EE" w:rsidRPr="00E7694A" w:rsidRDefault="005A07EE" w:rsidP="006B4C3A">
            <w:pPr>
              <w:pStyle w:val="ListParagraph"/>
              <w:ind w:left="426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55AEE204" w14:textId="77777777" w:rsidR="005A07EE" w:rsidRPr="00E7694A" w:rsidRDefault="005A07EE" w:rsidP="006B4C3A">
            <w:pPr>
              <w:pStyle w:val="ListParagraph"/>
              <w:ind w:left="412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31219AC8" w14:textId="77777777" w:rsidR="005A07EE" w:rsidRPr="00E7694A" w:rsidRDefault="005A07EE" w:rsidP="006B4C3A">
            <w:pPr>
              <w:ind w:left="66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713BB0A3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Receives &amp; assesses PIDs about a PIM</w:t>
            </w:r>
          </w:p>
        </w:tc>
        <w:tc>
          <w:tcPr>
            <w:tcW w:w="183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19F45015" w14:textId="77777777" w:rsidR="005A07EE" w:rsidRPr="00E7694A" w:rsidRDefault="005A07EE" w:rsidP="006B4C3A">
            <w:pPr>
              <w:ind w:left="66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4CB0FAA3" w14:textId="77777777" w:rsidR="005A07EE" w:rsidRPr="00E7694A" w:rsidRDefault="005A07EE" w:rsidP="006B4C3A">
            <w:pPr>
              <w:ind w:left="66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3C8C2438" w14:textId="77777777" w:rsidR="005A07EE" w:rsidRPr="00E7694A" w:rsidRDefault="005A07EE" w:rsidP="006B4C3A">
            <w:pPr>
              <w:ind w:left="66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67564C7C" w14:textId="77777777" w:rsidR="005A07EE" w:rsidRPr="00E7694A" w:rsidRDefault="005A07EE" w:rsidP="006B4C3A">
            <w:pPr>
              <w:ind w:left="66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6B4C3A" w:rsidRPr="00784720" w14:paraId="41A0EB11" w14:textId="77777777" w:rsidTr="006B4C3A">
        <w:trPr>
          <w:trHeight w:val="227"/>
        </w:trPr>
        <w:tc>
          <w:tcPr>
            <w:tcW w:w="2689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auto"/>
          </w:tcPr>
          <w:p w14:paraId="32715716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Monitors interaction</w:t>
            </w:r>
            <w:r w:rsidR="005533C8"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 xml:space="preserve"> with </w:t>
            </w: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other integrity bodies</w:t>
            </w:r>
          </w:p>
        </w:tc>
        <w:tc>
          <w:tcPr>
            <w:tcW w:w="2145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auto"/>
          </w:tcPr>
          <w:p w14:paraId="4126BF2F" w14:textId="77777777" w:rsidR="005A07EE" w:rsidRPr="00E7694A" w:rsidRDefault="005A07EE" w:rsidP="006B4C3A">
            <w:pPr>
              <w:pStyle w:val="ListParagraph"/>
              <w:ind w:left="427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auto"/>
          </w:tcPr>
          <w:p w14:paraId="06813FE6" w14:textId="77777777" w:rsidR="005A07EE" w:rsidRPr="00E7694A" w:rsidRDefault="005A07EE" w:rsidP="006B4C3A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auto"/>
          </w:tcPr>
          <w:p w14:paraId="277D1B85" w14:textId="77777777" w:rsidR="005A07EE" w:rsidRPr="00E7694A" w:rsidRDefault="005A07EE" w:rsidP="006B4C3A">
            <w:pPr>
              <w:pStyle w:val="ListParagraph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auto"/>
          </w:tcPr>
          <w:p w14:paraId="0595834E" w14:textId="77777777" w:rsidR="005A07EE" w:rsidRPr="00E7694A" w:rsidRDefault="005A07EE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53DAED79" w14:textId="77777777" w:rsidR="005A07EE" w:rsidRPr="00E7694A" w:rsidRDefault="005A07EE" w:rsidP="006B4C3A">
            <w:pPr>
              <w:pStyle w:val="ListParagraph"/>
              <w:ind w:left="268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10D52642" w14:textId="77777777" w:rsidR="005A07EE" w:rsidRPr="00E7694A" w:rsidRDefault="005A07EE" w:rsidP="006B4C3A">
            <w:pPr>
              <w:pStyle w:val="ListParagraph"/>
              <w:ind w:left="268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5C2969A6" w14:textId="77777777" w:rsidR="005A07EE" w:rsidRPr="00E7694A" w:rsidRDefault="005A07EE" w:rsidP="006B4C3A">
            <w:pPr>
              <w:pStyle w:val="ListParagraph"/>
              <w:ind w:left="268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3BC6DD92" w14:textId="77777777" w:rsidR="005A07EE" w:rsidRPr="00E7694A" w:rsidRDefault="005A07EE" w:rsidP="006B4C3A">
            <w:pPr>
              <w:pStyle w:val="ListParagraph"/>
              <w:ind w:left="268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572F02D4" w14:textId="77777777" w:rsidR="005A07EE" w:rsidRPr="00E7694A" w:rsidRDefault="005A07EE" w:rsidP="006B4C3A">
            <w:pPr>
              <w:pStyle w:val="ListParagraph"/>
              <w:ind w:left="268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auto"/>
          </w:tcPr>
          <w:p w14:paraId="418C6239" w14:textId="77777777" w:rsidR="005A07EE" w:rsidRPr="00E7694A" w:rsidRDefault="005A07EE" w:rsidP="006B4C3A">
            <w:pPr>
              <w:pStyle w:val="ListParagraph"/>
              <w:ind w:left="268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E7694A" w:rsidRPr="00784720" w14:paraId="77DC00B8" w14:textId="77777777" w:rsidTr="006B4C3A">
        <w:trPr>
          <w:trHeight w:val="227"/>
        </w:trPr>
        <w:tc>
          <w:tcPr>
            <w:tcW w:w="2689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5566B428" w14:textId="7C70542D" w:rsidR="00367D33" w:rsidRPr="00E7694A" w:rsidRDefault="00367D33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Inspects records on telephone intercepts, use of surveillance devices and on controlled operations</w:t>
            </w:r>
          </w:p>
        </w:tc>
        <w:tc>
          <w:tcPr>
            <w:tcW w:w="2145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601A3939" w14:textId="77777777" w:rsidR="00367D33" w:rsidRPr="00E7694A" w:rsidRDefault="00367D33" w:rsidP="006B4C3A">
            <w:pPr>
              <w:pStyle w:val="ListParagraph"/>
              <w:ind w:left="427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69121F9D" w14:textId="77777777" w:rsidR="00367D33" w:rsidRPr="00E7694A" w:rsidRDefault="00367D33" w:rsidP="006B4C3A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7753B70E" w14:textId="77777777" w:rsidR="00367D33" w:rsidRPr="00E7694A" w:rsidRDefault="00367D33" w:rsidP="006B4C3A">
            <w:pPr>
              <w:pStyle w:val="ListParagraph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  <w:right w:val="single" w:sz="4" w:space="0" w:color="auto"/>
            </w:tcBorders>
            <w:shd w:val="clear" w:color="auto" w:fill="DBEDDD"/>
          </w:tcPr>
          <w:p w14:paraId="61A278F0" w14:textId="77777777" w:rsidR="00367D33" w:rsidRPr="00E7694A" w:rsidRDefault="00367D33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31067BE9" w14:textId="77777777" w:rsidR="00367D33" w:rsidRPr="00E7694A" w:rsidRDefault="00367D33" w:rsidP="006B4C3A">
            <w:pPr>
              <w:pStyle w:val="ListParagraph"/>
              <w:ind w:left="268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60CC629F" w14:textId="7C5A38E2" w:rsidR="00367D33" w:rsidRPr="00E7694A" w:rsidRDefault="00367D33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 xml:space="preserve">Inspects records relating to order/warrant applications </w:t>
            </w:r>
          </w:p>
        </w:tc>
        <w:tc>
          <w:tcPr>
            <w:tcW w:w="183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1BF06AD2" w14:textId="2C451DBB" w:rsidR="00367D33" w:rsidRPr="00E7694A" w:rsidRDefault="00367D33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Inspects records on telephone intercepts, use of surveillance devices and on controlled operations</w:t>
            </w:r>
          </w:p>
        </w:tc>
        <w:tc>
          <w:tcPr>
            <w:tcW w:w="169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713EB3D5" w14:textId="77777777" w:rsidR="00367D33" w:rsidRPr="00E7694A" w:rsidRDefault="00367D33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Inspects records on use of surveillance devices and on controlled operations</w:t>
            </w:r>
          </w:p>
        </w:tc>
        <w:tc>
          <w:tcPr>
            <w:tcW w:w="1939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0D85DF67" w14:textId="77777777" w:rsidR="00367D33" w:rsidRPr="00E7694A" w:rsidRDefault="00367D33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Inspects records on use of surveillance devices and on controlled operations</w:t>
            </w:r>
          </w:p>
        </w:tc>
        <w:tc>
          <w:tcPr>
            <w:tcW w:w="128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6" w:space="0" w:color="4F6228" w:themeColor="accent3" w:themeShade="80"/>
            </w:tcBorders>
            <w:shd w:val="clear" w:color="auto" w:fill="DBEDDD"/>
          </w:tcPr>
          <w:p w14:paraId="63D830FB" w14:textId="77777777" w:rsidR="00367D33" w:rsidRPr="00E7694A" w:rsidRDefault="00367D33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Inspects records on use of surveillance devices and on controlled operations</w:t>
            </w:r>
          </w:p>
        </w:tc>
      </w:tr>
      <w:tr w:rsidR="006B4C3A" w:rsidRPr="00784720" w14:paraId="6388ADAF" w14:textId="77777777" w:rsidTr="006B4C3A">
        <w:trPr>
          <w:trHeight w:val="227"/>
        </w:trPr>
        <w:tc>
          <w:tcPr>
            <w:tcW w:w="2689" w:type="dxa"/>
            <w:tcBorders>
              <w:top w:val="single" w:sz="6" w:space="0" w:color="4F6228" w:themeColor="accent3" w:themeShade="80"/>
              <w:bottom w:val="single" w:sz="4" w:space="0" w:color="121E31"/>
              <w:right w:val="single" w:sz="4" w:space="0" w:color="auto"/>
            </w:tcBorders>
            <w:shd w:val="clear" w:color="auto" w:fill="auto"/>
          </w:tcPr>
          <w:p w14:paraId="4E14967E" w14:textId="77777777" w:rsidR="002D0B34" w:rsidRPr="00E7694A" w:rsidRDefault="002D0B34" w:rsidP="006B4C3A">
            <w:pPr>
              <w:pStyle w:val="ListParagraph"/>
              <w:ind w:left="426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4" w:space="0" w:color="121E31"/>
              <w:right w:val="single" w:sz="4" w:space="0" w:color="auto"/>
            </w:tcBorders>
            <w:shd w:val="clear" w:color="auto" w:fill="auto"/>
          </w:tcPr>
          <w:p w14:paraId="06DE3F29" w14:textId="77777777" w:rsidR="002D0B34" w:rsidRPr="00E7694A" w:rsidRDefault="002D0B34" w:rsidP="006B4C3A">
            <w:pPr>
              <w:pStyle w:val="ListParagraph"/>
              <w:ind w:left="427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4" w:space="0" w:color="121E31"/>
              <w:right w:val="single" w:sz="4" w:space="0" w:color="auto"/>
            </w:tcBorders>
            <w:shd w:val="clear" w:color="auto" w:fill="auto"/>
          </w:tcPr>
          <w:p w14:paraId="1729C424" w14:textId="77777777" w:rsidR="002D0B34" w:rsidRPr="00E7694A" w:rsidRDefault="002D0B34" w:rsidP="006B4C3A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4" w:space="0" w:color="121E31"/>
              <w:right w:val="single" w:sz="4" w:space="0" w:color="auto"/>
            </w:tcBorders>
            <w:shd w:val="clear" w:color="auto" w:fill="auto"/>
          </w:tcPr>
          <w:p w14:paraId="38564E0E" w14:textId="77777777" w:rsidR="002D0B34" w:rsidRPr="00E7694A" w:rsidRDefault="002D0B34" w:rsidP="006B4C3A">
            <w:pPr>
              <w:pStyle w:val="ListParagraph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4" w:space="0" w:color="121E31"/>
              <w:right w:val="single" w:sz="4" w:space="0" w:color="auto"/>
            </w:tcBorders>
            <w:shd w:val="clear" w:color="auto" w:fill="auto"/>
          </w:tcPr>
          <w:p w14:paraId="61FD32AB" w14:textId="77777777" w:rsidR="002D0B34" w:rsidRPr="00E7694A" w:rsidRDefault="002D0B34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4" w:space="0" w:color="121E31"/>
            </w:tcBorders>
            <w:shd w:val="clear" w:color="auto" w:fill="auto"/>
          </w:tcPr>
          <w:p w14:paraId="498DC42E" w14:textId="77777777" w:rsidR="002D0B34" w:rsidRPr="00E7694A" w:rsidRDefault="002D0B34" w:rsidP="006B4C3A">
            <w:pPr>
              <w:pStyle w:val="ListParagraph"/>
              <w:ind w:left="268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4" w:space="0" w:color="121E31"/>
            </w:tcBorders>
            <w:shd w:val="clear" w:color="auto" w:fill="auto"/>
          </w:tcPr>
          <w:p w14:paraId="5EABEE6D" w14:textId="77777777" w:rsidR="002D0B34" w:rsidRPr="00E7694A" w:rsidRDefault="002D0B34" w:rsidP="006B4C3A">
            <w:pPr>
              <w:pStyle w:val="ListParagraph"/>
              <w:ind w:left="268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4" w:space="0" w:color="121E31"/>
            </w:tcBorders>
            <w:shd w:val="clear" w:color="auto" w:fill="auto"/>
          </w:tcPr>
          <w:p w14:paraId="04E6C403" w14:textId="77777777" w:rsidR="002D0B34" w:rsidRPr="00E7694A" w:rsidRDefault="002D0B34" w:rsidP="006B4C3A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E7694A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Inspects records on use of counter-terrorism powers</w:t>
            </w:r>
          </w:p>
        </w:tc>
        <w:tc>
          <w:tcPr>
            <w:tcW w:w="169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4" w:space="0" w:color="121E31"/>
            </w:tcBorders>
            <w:shd w:val="clear" w:color="auto" w:fill="auto"/>
          </w:tcPr>
          <w:p w14:paraId="23FA5699" w14:textId="77777777" w:rsidR="002D0B34" w:rsidRPr="00E7694A" w:rsidRDefault="002D0B34" w:rsidP="006B4C3A">
            <w:pPr>
              <w:pStyle w:val="ListParagraph"/>
              <w:ind w:left="268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4" w:space="0" w:color="121E31"/>
            </w:tcBorders>
            <w:shd w:val="clear" w:color="auto" w:fill="auto"/>
          </w:tcPr>
          <w:p w14:paraId="55D8E533" w14:textId="77777777" w:rsidR="002D0B34" w:rsidRPr="00E7694A" w:rsidRDefault="002D0B34" w:rsidP="006B4C3A">
            <w:pPr>
              <w:pStyle w:val="ListParagraph"/>
              <w:ind w:left="268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6" w:space="0" w:color="4F6228" w:themeColor="accent3" w:themeShade="80"/>
              <w:left w:val="single" w:sz="4" w:space="0" w:color="auto"/>
              <w:bottom w:val="single" w:sz="4" w:space="0" w:color="121E31"/>
            </w:tcBorders>
            <w:shd w:val="clear" w:color="auto" w:fill="auto"/>
          </w:tcPr>
          <w:p w14:paraId="7CDDC983" w14:textId="77777777" w:rsidR="002D0B34" w:rsidRPr="00E7694A" w:rsidRDefault="002D0B34" w:rsidP="006B4C3A">
            <w:pPr>
              <w:pStyle w:val="ListParagraph"/>
              <w:ind w:left="268"/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784720" w:rsidRPr="00784720" w14:paraId="252B521D" w14:textId="77777777" w:rsidTr="006B4C3A">
        <w:trPr>
          <w:trHeight w:val="779"/>
        </w:trPr>
        <w:tc>
          <w:tcPr>
            <w:tcW w:w="21229" w:type="dxa"/>
            <w:gridSpan w:val="11"/>
            <w:tcBorders>
              <w:top w:val="single" w:sz="4" w:space="0" w:color="121E31"/>
              <w:left w:val="nil"/>
              <w:bottom w:val="nil"/>
              <w:right w:val="nil"/>
            </w:tcBorders>
            <w:shd w:val="clear" w:color="auto" w:fill="auto"/>
          </w:tcPr>
          <w:p w14:paraId="0D7BFF99" w14:textId="1B0C4E27" w:rsidR="00371320" w:rsidRPr="00784720" w:rsidRDefault="00371320" w:rsidP="006B4C3A">
            <w:pPr>
              <w:pStyle w:val="ListParagraph"/>
              <w:tabs>
                <w:tab w:val="left" w:pos="9905"/>
              </w:tabs>
              <w:spacing w:before="240"/>
              <w:ind w:left="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784720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The VI must consider whether any disclosure received by it relating to any public body or public officer is a PID that must be notified to the appropriate entity.</w:t>
            </w:r>
          </w:p>
          <w:p w14:paraId="59D68667" w14:textId="77777777" w:rsidR="00371320" w:rsidRDefault="00371320" w:rsidP="006B4C3A">
            <w:pPr>
              <w:pStyle w:val="ListParagraph"/>
              <w:tabs>
                <w:tab w:val="left" w:pos="8444"/>
              </w:tabs>
              <w:spacing w:before="240"/>
              <w:ind w:left="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784720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The VI must also investigate any PIC referred to it by IBAC relating</w:t>
            </w:r>
            <w:r w:rsidR="00E7694A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784720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to the conduct of any public body or public officer.</w:t>
            </w:r>
          </w:p>
          <w:p w14:paraId="69094F12" w14:textId="15EEF78F" w:rsidR="008D0D1E" w:rsidRPr="008D0D1E" w:rsidRDefault="008D0D1E" w:rsidP="006B4C3A">
            <w:pPr>
              <w:tabs>
                <w:tab w:val="left" w:pos="1353"/>
              </w:tabs>
            </w:pPr>
            <w:r>
              <w:tab/>
            </w:r>
          </w:p>
        </w:tc>
      </w:tr>
    </w:tbl>
    <w:p w14:paraId="09F9DD95" w14:textId="77777777" w:rsidR="00387CDE" w:rsidRPr="00C05516" w:rsidRDefault="00387CDE"/>
    <w:sectPr w:rsidR="00387CDE" w:rsidRPr="00C05516" w:rsidSect="0072026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23814" w:h="16839" w:orient="landscape" w:code="8"/>
      <w:pgMar w:top="681" w:right="266" w:bottom="249" w:left="680" w:header="0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C2ABF" w14:textId="77777777" w:rsidR="00FD7831" w:rsidRDefault="00FD7831" w:rsidP="007B3C4F">
      <w:pPr>
        <w:spacing w:after="0" w:line="240" w:lineRule="auto"/>
      </w:pPr>
      <w:r>
        <w:separator/>
      </w:r>
    </w:p>
  </w:endnote>
  <w:endnote w:type="continuationSeparator" w:id="0">
    <w:p w14:paraId="56481BA5" w14:textId="77777777" w:rsidR="00FD7831" w:rsidRDefault="00FD7831" w:rsidP="007B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 Medi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F7A34" w14:textId="77777777" w:rsidR="00FF3CEF" w:rsidRDefault="00FF3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615CD" w14:textId="735EF304" w:rsidR="003A308B" w:rsidRPr="0025428B" w:rsidRDefault="00FF3CEF" w:rsidP="006B4C3A">
    <w:pPr>
      <w:pStyle w:val="Footer"/>
      <w:tabs>
        <w:tab w:val="right" w:pos="4513"/>
      </w:tabs>
      <w:ind w:left="851" w:right="755"/>
      <w:rPr>
        <w:rFonts w:ascii="ITC Avant Garde Gothic Medium" w:hAnsi="ITC Avant Garde Gothic Medium"/>
        <w:bCs w:val="0"/>
        <w:sz w:val="16"/>
        <w:szCs w:val="16"/>
      </w:rPr>
    </w:pPr>
    <w:r>
      <w:rPr>
        <w:rFonts w:ascii="ITC Avant Garde Gothic Medium" w:hAnsi="ITC Avant Garde Gothic Medium"/>
        <w:bCs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9DDE1C" wp14:editId="6CDA288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15121255" cy="273050"/>
              <wp:effectExtent l="0" t="0" r="0" b="12700"/>
              <wp:wrapNone/>
              <wp:docPr id="1" name="MSIPCM413f4d17bd6dba524f80cea4" descr="{&quot;HashCode&quot;:-1267603503,&quot;Height&quot;:841.0,&quot;Width&quot;:1190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125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8C0583" w14:textId="72844FD9" w:rsidR="00FF3CEF" w:rsidRPr="00FF3CEF" w:rsidRDefault="00FF3CEF" w:rsidP="00FF3CE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FF3CEF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DDE1C" id="_x0000_t202" coordsize="21600,21600" o:spt="202" path="m,l,21600r21600,l21600,xe">
              <v:stroke joinstyle="miter"/>
              <v:path gradientshapeok="t" o:connecttype="rect"/>
            </v:shapetype>
            <v:shape id="MSIPCM413f4d17bd6dba524f80cea4" o:spid="_x0000_s1026" type="#_x0000_t202" alt="{&quot;HashCode&quot;:-1267603503,&quot;Height&quot;:841.0,&quot;Width&quot;:1190.0,&quot;Placement&quot;:&quot;Footer&quot;,&quot;Index&quot;:&quot;Primary&quot;,&quot;Section&quot;:1,&quot;Top&quot;:0.0,&quot;Left&quot;:0.0}" style="position:absolute;left:0;text-align:left;margin-left:0;margin-top:805.4pt;width:1190.6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4D8C0583" w14:textId="72844FD9" w:rsidR="00FF3CEF" w:rsidRPr="00FF3CEF" w:rsidRDefault="00FF3CEF" w:rsidP="00FF3CE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FF3CEF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428B" w:rsidRPr="0025428B">
      <w:rPr>
        <w:rFonts w:ascii="ITC Avant Garde Gothic Medium" w:hAnsi="ITC Avant Garde Gothic Medium"/>
        <w:bCs w:val="0"/>
        <w:sz w:val="16"/>
        <w:szCs w:val="16"/>
      </w:rPr>
      <w:t>VICTORIAN INSPECTORATE</w:t>
    </w:r>
    <w:r w:rsidR="0025428B" w:rsidRPr="0025428B">
      <w:rPr>
        <w:rFonts w:ascii="ITC Avant Garde Gothic Medium" w:hAnsi="ITC Avant Garde Gothic Medium"/>
        <w:bCs w:val="0"/>
        <w:sz w:val="16"/>
        <w:szCs w:val="16"/>
      </w:rPr>
      <w:ptab w:relativeTo="margin" w:alignment="center" w:leader="none"/>
    </w:r>
    <w:r w:rsidR="0025428B" w:rsidRPr="0025428B">
      <w:rPr>
        <w:rFonts w:ascii="ITC Avant Garde Gothic Medium" w:hAnsi="ITC Avant Garde Gothic Medium"/>
        <w:bCs w:val="0"/>
        <w:sz w:val="16"/>
        <w:szCs w:val="16"/>
      </w:rPr>
      <w:ptab w:relativeTo="margin" w:alignment="right" w:leader="none"/>
    </w:r>
    <w:r w:rsidR="0025428B" w:rsidRPr="0025428B">
      <w:rPr>
        <w:rFonts w:ascii="ITC Avant Garde Gothic Medium" w:hAnsi="ITC Avant Garde Gothic Medium"/>
        <w:bCs w:val="0"/>
        <w:sz w:val="16"/>
        <w:szCs w:val="16"/>
      </w:rPr>
      <w:t>KEY FUCNTIONS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2C537" w14:textId="77777777" w:rsidR="00FF3CEF" w:rsidRDefault="00FF3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E83C1" w14:textId="77777777" w:rsidR="00FD7831" w:rsidRDefault="00FD7831" w:rsidP="007B3C4F">
      <w:pPr>
        <w:spacing w:after="0" w:line="240" w:lineRule="auto"/>
      </w:pPr>
      <w:r>
        <w:separator/>
      </w:r>
    </w:p>
  </w:footnote>
  <w:footnote w:type="continuationSeparator" w:id="0">
    <w:p w14:paraId="4C00CF59" w14:textId="77777777" w:rsidR="00FD7831" w:rsidRDefault="00FD7831" w:rsidP="007B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5F5BB" w14:textId="77777777" w:rsidR="00FF3CEF" w:rsidRDefault="00FF3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D88B9" w14:textId="77777777" w:rsidR="00FF3CEF" w:rsidRDefault="00FF3C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8A285" w14:textId="77777777" w:rsidR="00FF3CEF" w:rsidRDefault="00FF3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610E"/>
    <w:multiLevelType w:val="hybridMultilevel"/>
    <w:tmpl w:val="9B9C4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2063"/>
    <w:multiLevelType w:val="hybridMultilevel"/>
    <w:tmpl w:val="63088586"/>
    <w:lvl w:ilvl="0" w:tplc="0C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D96708F"/>
    <w:multiLevelType w:val="hybridMultilevel"/>
    <w:tmpl w:val="BFCCA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79AB"/>
    <w:multiLevelType w:val="hybridMultilevel"/>
    <w:tmpl w:val="CE8EC06E"/>
    <w:lvl w:ilvl="0" w:tplc="10224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45A5"/>
    <w:multiLevelType w:val="hybridMultilevel"/>
    <w:tmpl w:val="CE006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266D3"/>
    <w:multiLevelType w:val="hybridMultilevel"/>
    <w:tmpl w:val="0D8C1D1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E6628"/>
    <w:multiLevelType w:val="hybridMultilevel"/>
    <w:tmpl w:val="95F8C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159C7"/>
    <w:multiLevelType w:val="hybridMultilevel"/>
    <w:tmpl w:val="DBD04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855E4"/>
    <w:multiLevelType w:val="hybridMultilevel"/>
    <w:tmpl w:val="94F4B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7682F"/>
    <w:multiLevelType w:val="hybridMultilevel"/>
    <w:tmpl w:val="28E68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234DB"/>
    <w:multiLevelType w:val="hybridMultilevel"/>
    <w:tmpl w:val="FCDABC0C"/>
    <w:lvl w:ilvl="0" w:tplc="10224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C5929"/>
    <w:multiLevelType w:val="hybridMultilevel"/>
    <w:tmpl w:val="67CC5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F0397"/>
    <w:multiLevelType w:val="hybridMultilevel"/>
    <w:tmpl w:val="B5D2AFAA"/>
    <w:lvl w:ilvl="0" w:tplc="0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D92531"/>
    <w:multiLevelType w:val="hybridMultilevel"/>
    <w:tmpl w:val="E430A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C3CC8"/>
    <w:multiLevelType w:val="hybridMultilevel"/>
    <w:tmpl w:val="4C1C5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13039"/>
    <w:multiLevelType w:val="hybridMultilevel"/>
    <w:tmpl w:val="86E20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50981"/>
    <w:multiLevelType w:val="hybridMultilevel"/>
    <w:tmpl w:val="A6580B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3300C5"/>
    <w:multiLevelType w:val="hybridMultilevel"/>
    <w:tmpl w:val="782ED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E22E9"/>
    <w:multiLevelType w:val="hybridMultilevel"/>
    <w:tmpl w:val="0E60C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27F63"/>
    <w:multiLevelType w:val="hybridMultilevel"/>
    <w:tmpl w:val="ACE2D812"/>
    <w:lvl w:ilvl="0" w:tplc="0C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0" w15:restartNumberingAfterBreak="0">
    <w:nsid w:val="729D3DA0"/>
    <w:multiLevelType w:val="hybridMultilevel"/>
    <w:tmpl w:val="AF3C020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A48A7"/>
    <w:multiLevelType w:val="hybridMultilevel"/>
    <w:tmpl w:val="DBF4DC9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7A24E9"/>
    <w:multiLevelType w:val="hybridMultilevel"/>
    <w:tmpl w:val="DAB025D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8B760BC"/>
    <w:multiLevelType w:val="hybridMultilevel"/>
    <w:tmpl w:val="94AE4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A5AE9"/>
    <w:multiLevelType w:val="hybridMultilevel"/>
    <w:tmpl w:val="9E047CA4"/>
    <w:lvl w:ilvl="0" w:tplc="10224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72B3F"/>
    <w:multiLevelType w:val="hybridMultilevel"/>
    <w:tmpl w:val="A2A66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A2D1E"/>
    <w:multiLevelType w:val="hybridMultilevel"/>
    <w:tmpl w:val="0630C6A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B70B2D"/>
    <w:multiLevelType w:val="hybridMultilevel"/>
    <w:tmpl w:val="FC20005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21"/>
  </w:num>
  <w:num w:numId="5">
    <w:abstractNumId w:val="14"/>
  </w:num>
  <w:num w:numId="6">
    <w:abstractNumId w:val="20"/>
  </w:num>
  <w:num w:numId="7">
    <w:abstractNumId w:val="5"/>
  </w:num>
  <w:num w:numId="8">
    <w:abstractNumId w:val="27"/>
  </w:num>
  <w:num w:numId="9">
    <w:abstractNumId w:val="24"/>
  </w:num>
  <w:num w:numId="10">
    <w:abstractNumId w:val="22"/>
  </w:num>
  <w:num w:numId="11">
    <w:abstractNumId w:val="16"/>
  </w:num>
  <w:num w:numId="12">
    <w:abstractNumId w:val="23"/>
  </w:num>
  <w:num w:numId="13">
    <w:abstractNumId w:val="19"/>
  </w:num>
  <w:num w:numId="14">
    <w:abstractNumId w:val="11"/>
  </w:num>
  <w:num w:numId="15">
    <w:abstractNumId w:val="15"/>
  </w:num>
  <w:num w:numId="16">
    <w:abstractNumId w:val="9"/>
  </w:num>
  <w:num w:numId="17">
    <w:abstractNumId w:val="17"/>
  </w:num>
  <w:num w:numId="18">
    <w:abstractNumId w:val="13"/>
  </w:num>
  <w:num w:numId="19">
    <w:abstractNumId w:val="10"/>
  </w:num>
  <w:num w:numId="20">
    <w:abstractNumId w:val="3"/>
  </w:num>
  <w:num w:numId="21">
    <w:abstractNumId w:val="25"/>
  </w:num>
  <w:num w:numId="22">
    <w:abstractNumId w:val="0"/>
  </w:num>
  <w:num w:numId="23">
    <w:abstractNumId w:val="1"/>
  </w:num>
  <w:num w:numId="24">
    <w:abstractNumId w:val="18"/>
  </w:num>
  <w:num w:numId="25">
    <w:abstractNumId w:val="26"/>
  </w:num>
  <w:num w:numId="26">
    <w:abstractNumId w:val="6"/>
  </w:num>
  <w:num w:numId="27">
    <w:abstractNumId w:val="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5DF"/>
    <w:rsid w:val="00005675"/>
    <w:rsid w:val="00027B0D"/>
    <w:rsid w:val="00070641"/>
    <w:rsid w:val="00080E5F"/>
    <w:rsid w:val="0008314C"/>
    <w:rsid w:val="00097790"/>
    <w:rsid w:val="000F13AA"/>
    <w:rsid w:val="00100534"/>
    <w:rsid w:val="0012046D"/>
    <w:rsid w:val="00127F1B"/>
    <w:rsid w:val="00182AF9"/>
    <w:rsid w:val="00190D70"/>
    <w:rsid w:val="00190DB1"/>
    <w:rsid w:val="001937C5"/>
    <w:rsid w:val="001C7CEF"/>
    <w:rsid w:val="001D4092"/>
    <w:rsid w:val="001F51C4"/>
    <w:rsid w:val="00214242"/>
    <w:rsid w:val="00220C15"/>
    <w:rsid w:val="0024550F"/>
    <w:rsid w:val="0025428B"/>
    <w:rsid w:val="0027552B"/>
    <w:rsid w:val="00296DA1"/>
    <w:rsid w:val="002B408B"/>
    <w:rsid w:val="002D0911"/>
    <w:rsid w:val="002D0B34"/>
    <w:rsid w:val="002F2D38"/>
    <w:rsid w:val="002F4326"/>
    <w:rsid w:val="00300FF6"/>
    <w:rsid w:val="00314A00"/>
    <w:rsid w:val="0032673C"/>
    <w:rsid w:val="003267D3"/>
    <w:rsid w:val="00367D33"/>
    <w:rsid w:val="00371320"/>
    <w:rsid w:val="00380735"/>
    <w:rsid w:val="00387192"/>
    <w:rsid w:val="00387CDE"/>
    <w:rsid w:val="003A308B"/>
    <w:rsid w:val="003B672C"/>
    <w:rsid w:val="003C36D5"/>
    <w:rsid w:val="00431A45"/>
    <w:rsid w:val="00443BDB"/>
    <w:rsid w:val="00466CBA"/>
    <w:rsid w:val="00487124"/>
    <w:rsid w:val="004D4519"/>
    <w:rsid w:val="004E5EFA"/>
    <w:rsid w:val="00500131"/>
    <w:rsid w:val="0051304E"/>
    <w:rsid w:val="00542C5A"/>
    <w:rsid w:val="00547227"/>
    <w:rsid w:val="005533C8"/>
    <w:rsid w:val="00572156"/>
    <w:rsid w:val="00581413"/>
    <w:rsid w:val="005934C0"/>
    <w:rsid w:val="005A07EE"/>
    <w:rsid w:val="005D329F"/>
    <w:rsid w:val="005F3133"/>
    <w:rsid w:val="0062444F"/>
    <w:rsid w:val="0062521B"/>
    <w:rsid w:val="006255B7"/>
    <w:rsid w:val="006311B0"/>
    <w:rsid w:val="006333FF"/>
    <w:rsid w:val="00644FBE"/>
    <w:rsid w:val="006451AD"/>
    <w:rsid w:val="00647A60"/>
    <w:rsid w:val="0067593B"/>
    <w:rsid w:val="00676F5E"/>
    <w:rsid w:val="006A4868"/>
    <w:rsid w:val="006B4C3A"/>
    <w:rsid w:val="006B5134"/>
    <w:rsid w:val="006C6C2A"/>
    <w:rsid w:val="006D0FA8"/>
    <w:rsid w:val="006D4461"/>
    <w:rsid w:val="006E136B"/>
    <w:rsid w:val="006E2E2D"/>
    <w:rsid w:val="006F2A6B"/>
    <w:rsid w:val="006F7774"/>
    <w:rsid w:val="00710EC4"/>
    <w:rsid w:val="00720269"/>
    <w:rsid w:val="007339D6"/>
    <w:rsid w:val="00733DCE"/>
    <w:rsid w:val="007500EE"/>
    <w:rsid w:val="0075645E"/>
    <w:rsid w:val="007658E6"/>
    <w:rsid w:val="0077477D"/>
    <w:rsid w:val="00784720"/>
    <w:rsid w:val="00792F77"/>
    <w:rsid w:val="007930B3"/>
    <w:rsid w:val="007B3C4F"/>
    <w:rsid w:val="007B45FE"/>
    <w:rsid w:val="008105AE"/>
    <w:rsid w:val="00864939"/>
    <w:rsid w:val="008A5B20"/>
    <w:rsid w:val="008C15CC"/>
    <w:rsid w:val="008C49E4"/>
    <w:rsid w:val="008D0D1E"/>
    <w:rsid w:val="008F412E"/>
    <w:rsid w:val="0091259B"/>
    <w:rsid w:val="009740DA"/>
    <w:rsid w:val="00974446"/>
    <w:rsid w:val="00982AE7"/>
    <w:rsid w:val="009934DB"/>
    <w:rsid w:val="00993EF6"/>
    <w:rsid w:val="00994FD7"/>
    <w:rsid w:val="00994FEF"/>
    <w:rsid w:val="009A65DF"/>
    <w:rsid w:val="009C315C"/>
    <w:rsid w:val="009F1484"/>
    <w:rsid w:val="00A309AE"/>
    <w:rsid w:val="00A30A3C"/>
    <w:rsid w:val="00A5446D"/>
    <w:rsid w:val="00A6184D"/>
    <w:rsid w:val="00A61F6E"/>
    <w:rsid w:val="00B50A43"/>
    <w:rsid w:val="00B63561"/>
    <w:rsid w:val="00B71C50"/>
    <w:rsid w:val="00B77681"/>
    <w:rsid w:val="00B8640E"/>
    <w:rsid w:val="00BA6845"/>
    <w:rsid w:val="00BF65DA"/>
    <w:rsid w:val="00C05516"/>
    <w:rsid w:val="00C17397"/>
    <w:rsid w:val="00C36946"/>
    <w:rsid w:val="00C40C32"/>
    <w:rsid w:val="00C65390"/>
    <w:rsid w:val="00C77DA7"/>
    <w:rsid w:val="00CA5C2F"/>
    <w:rsid w:val="00CB7DB7"/>
    <w:rsid w:val="00CC563B"/>
    <w:rsid w:val="00CC6A0A"/>
    <w:rsid w:val="00CD5C55"/>
    <w:rsid w:val="00CF3AE3"/>
    <w:rsid w:val="00D002EC"/>
    <w:rsid w:val="00D15B17"/>
    <w:rsid w:val="00D16EB9"/>
    <w:rsid w:val="00D22753"/>
    <w:rsid w:val="00D2704D"/>
    <w:rsid w:val="00D66B1C"/>
    <w:rsid w:val="00D933DF"/>
    <w:rsid w:val="00DD3AE2"/>
    <w:rsid w:val="00E026EB"/>
    <w:rsid w:val="00E30448"/>
    <w:rsid w:val="00E41F0A"/>
    <w:rsid w:val="00E7694A"/>
    <w:rsid w:val="00E86905"/>
    <w:rsid w:val="00E9194C"/>
    <w:rsid w:val="00EF64EB"/>
    <w:rsid w:val="00F21951"/>
    <w:rsid w:val="00F30036"/>
    <w:rsid w:val="00F6546E"/>
    <w:rsid w:val="00F802BA"/>
    <w:rsid w:val="00F96EC3"/>
    <w:rsid w:val="00FC790E"/>
    <w:rsid w:val="00FD7831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BFD67B"/>
  <w15:docId w15:val="{B761E61F-E905-CC4F-B093-03C4BE01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 Light" w:eastAsiaTheme="minorHAnsi" w:hAnsi="Calibri Light" w:cstheme="minorBidi"/>
        <w:bCs/>
        <w:lang w:val="en-A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7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EC"/>
    <w:rPr>
      <w:rFonts w:ascii="Tahoma" w:hAnsi="Tahoma" w:cs="Tahoma"/>
      <w:sz w:val="16"/>
      <w:szCs w:val="16"/>
    </w:rPr>
  </w:style>
  <w:style w:type="table" w:styleId="MediumShading1-Accent3">
    <w:name w:val="Medium Shading 1 Accent 3"/>
    <w:basedOn w:val="TableNormal"/>
    <w:uiPriority w:val="63"/>
    <w:rsid w:val="00F3003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B3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C4F"/>
  </w:style>
  <w:style w:type="paragraph" w:styleId="Footer">
    <w:name w:val="footer"/>
    <w:basedOn w:val="Normal"/>
    <w:link w:val="FooterChar"/>
    <w:uiPriority w:val="99"/>
    <w:unhideWhenUsed/>
    <w:rsid w:val="007B3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C4F"/>
  </w:style>
  <w:style w:type="character" w:customStyle="1" w:styleId="Heading2Char">
    <w:name w:val="Heading 2 Char"/>
    <w:basedOn w:val="DefaultParagraphFont"/>
    <w:link w:val="Heading2"/>
    <w:uiPriority w:val="9"/>
    <w:rsid w:val="00E026EB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026EB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593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image" Target="media/image11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043358D31DA4A8BD5DDAF99B1A3DD" ma:contentTypeVersion="7" ma:contentTypeDescription="Create a new document." ma:contentTypeScope="" ma:versionID="741627dc034643cbbba6c87611a0e3d5">
  <xsd:schema xmlns:xsd="http://www.w3.org/2001/XMLSchema" xmlns:xs="http://www.w3.org/2001/XMLSchema" xmlns:p="http://schemas.microsoft.com/office/2006/metadata/properties" xmlns:ns3="98422d3b-9029-4b1d-bfd2-167483703c96" xmlns:ns4="2fc0c8cc-68ad-49ca-9a9e-226e7f32b46c" targetNamespace="http://schemas.microsoft.com/office/2006/metadata/properties" ma:root="true" ma:fieldsID="d47dd75eece7118f0632367f438b0ad0" ns3:_="" ns4:_="">
    <xsd:import namespace="98422d3b-9029-4b1d-bfd2-167483703c96"/>
    <xsd:import namespace="2fc0c8cc-68ad-49ca-9a9e-226e7f32b4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22d3b-9029-4b1d-bfd2-167483703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0c8cc-68ad-49ca-9a9e-226e7f32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5E58CE-E987-49D5-B37F-E0D6759021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DA7F72-FAE1-4968-BADE-1E2C1AD4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BFD8D0-D13F-4DB9-828A-898F1294C672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3B3D5BA4-D4C2-4F3E-8C99-4DA91EE43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22d3b-9029-4b1d-bfd2-167483703c96"/>
    <ds:schemaRef ds:uri="2fc0c8cc-68ad-49ca-9a9e-226e7f32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7D4C87-CF6A-4535-A939-BC3C7ED3D8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M O'Farrell (DPC)</dc:creator>
  <cp:lastModifiedBy>Marcella Marino (DPC)</cp:lastModifiedBy>
  <cp:revision>2</cp:revision>
  <cp:lastPrinted>2020-06-26T01:05:00Z</cp:lastPrinted>
  <dcterms:created xsi:type="dcterms:W3CDTF">2021-07-12T23:33:00Z</dcterms:created>
  <dcterms:modified xsi:type="dcterms:W3CDTF">2021-07-12T23:33:00Z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7c4ab2fe-9ae8-4238-a4be-77dc7b79216b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0x010100226043358D31DA4A8BD5DDAF99B1A3DD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2021-07-12T23:32:49Z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55ce7e75-3771-4985-a049-3646e4911ba1</vt:lpwstr>
  </property>
  <property fmtid="{D5CDD505-2E9C-101B-9397-08002B2CF9AE}" pid="11" name="MSIP_Label_7158ebbd-6c5e-441f-bfc9-4eb8c11e3978_ContentBits">
    <vt:lpwstr>2</vt:lpwstr>
  </property>
</Properties>
</file>